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Окружные соревнования по подводной робототехнике</w:t>
      </w:r>
      <w:r/>
    </w:p>
    <w:p>
      <w:pPr>
        <w:pStyle w:val="422"/>
        <w:ind w:left="0"/>
      </w:pPr>
      <w:r>
        <w:t xml:space="preserve">АНПА</w:t>
      </w:r>
      <w:r/>
    </w:p>
    <w:p>
      <w:pPr>
        <w:pStyle w:val="422"/>
        <w:ind w:left="0"/>
        <w:rPr>
          <w:sz w:val="40"/>
          <w:szCs w:val="40"/>
        </w:rPr>
      </w:pPr>
      <w:r>
        <w:rPr>
          <w:sz w:val="40"/>
          <w:szCs w:val="40"/>
        </w:rPr>
        <w:t xml:space="preserve">Младшая групп</w:t>
      </w:r>
      <w:r>
        <w:rPr>
          <w:sz w:val="40"/>
          <w:szCs w:val="40"/>
        </w:rPr>
        <w:t xml:space="preserve">а</w:t>
      </w:r>
      <w:r>
        <w:rPr>
          <w:sz w:val="40"/>
          <w:szCs w:val="40"/>
        </w:rPr>
        <w:t xml:space="preserve"> (6-8 класс)</w:t>
      </w:r>
      <w:r/>
    </w:p>
    <w:p>
      <w:pPr>
        <w:pStyle w:val="420"/>
        <w:ind w:right="138"/>
        <w:jc w:val="center"/>
        <w:spacing w:lineRule="exact" w:line="273"/>
      </w:pPr>
      <w:r>
        <w:rPr>
          <w:b/>
          <w:color w:val="000000" w:themeColor="text1"/>
          <w:sz w:val="21"/>
          <w:szCs w:val="21"/>
        </w:rPr>
        <w:t xml:space="preserve">Место проведения: </w:t>
      </w:r>
      <w:r>
        <w:t xml:space="preserve">Астраханский государственный университет</w:t>
      </w:r>
      <w:r/>
    </w:p>
    <w:p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Даты проведения: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 апреля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2021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г.</w:t>
      </w:r>
      <w:r/>
    </w:p>
    <w:p>
      <w:pPr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Общая информация</w:t>
      </w:r>
      <w:r/>
    </w:p>
    <w:p>
      <w:pPr>
        <w:ind w:firstLine="567"/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Соревнования будут проводиться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АНПА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MiddleAUV</w:t>
      </w:r>
      <w:r>
        <w:rPr>
          <w:rFonts w:ascii="Times New Roman" w:hAnsi="Times New Roman" w:cs="Times New Roman"/>
          <w:sz w:val="24"/>
          <w:szCs w:val="24"/>
        </w:rPr>
        <w:t xml:space="preserve">. Командам будет предоставлен аппарат для от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ладки и выполнения заданий. </w:t>
      </w:r>
      <w:r/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19625" cy="3304453"/>
                <wp:effectExtent l="0" t="0" r="0" b="0"/>
                <wp:docPr id="1" name="Рисунок 12" descr="2bvrbjYA.jpe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2bvrbjYA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33177" cy="331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3.8pt;height:260.2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Легенда задания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Судно, на борту которого размещалось несколько лабораторий для работы с опасными вирусами, потерпело крушение. Экипажу удалось спастись, но среди обломков лабораторий (на дне) могли </w:t>
      </w:r>
      <w:r>
        <w:rPr>
          <w:rFonts w:ascii="Times New Roman" w:hAnsi="Times New Roman" w:cs="Times New Roman"/>
          <w:sz w:val="24"/>
          <w:szCs w:val="24"/>
        </w:rPr>
        <w:t xml:space="preserve">сохраниться образцы вирусов. Существует опасность попадания данных образцов в окружающую среду. Для нейтрализации образцов вирусов в уцелевших лабораториях решено применить АНПА, спускаемый на воду с вертолета и доставляющий нейтрализующее вирусы вещество.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легенде задания участникам необходимо провести осмотр акватории с предполагаемым</w:t>
      </w:r>
      <w:r>
        <w:rPr>
          <w:rFonts w:ascii="Times New Roman" w:hAnsi="Times New Roman" w:cs="Times New Roman"/>
          <w:sz w:val="24"/>
          <w:szCs w:val="24"/>
        </w:rPr>
        <w:t xml:space="preserve"> местом крушения. Для этого АНПА после спуска на воду должен пройти вдоль обломков научного судна, идентифицировать наиболее опасную лабораторию и произвести нейтрализацию вируса. Так же, необходимо определить менее пострадавшую лабораторию и произвести её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осмотр. После выполнения основных задач АНПА должен всплыть в заданной зоне.</w:t>
      </w:r>
      <w:r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задания</w:t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Порядок выполнения и описание: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попытки робот должен выполнить следующие задачи: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Двигаться заданным курсом. Имитируется осмотр акватории и поиск обломков.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Распознать фигуру на табличке. Имитируется идентификация лаборатории.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Коснуться таблички. Имитируется применение нейтрализующего вирусы вещества.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Развернуться на 360 градусов. Имитируется осмотр менее пострадавшей лаборатории.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Всплыть в рамке. Имитируется подход к зоне эвакуации и всплытие в заданной позиции.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2850" cy="3016250"/>
                <wp:effectExtent l="0" t="0" r="0" b="0"/>
                <wp:docPr id="2" name="Рисунок 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92850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95.5pt;height:237.5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Начальные условия для выполнения задания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Расстояние от места старта до первой таблички задается сл</w:t>
      </w:r>
      <w:r>
        <w:rPr>
          <w:rFonts w:ascii="Times New Roman" w:hAnsi="Times New Roman" w:cs="Times New Roman"/>
          <w:sz w:val="24"/>
          <w:szCs w:val="24"/>
        </w:rPr>
        <w:t xml:space="preserve">учайным образом в пределах от 0,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м до 0,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 перед заплывом, после периода отладки.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Таблички устанавливаются вертикально на стенке бассейна. Глубина </w:t>
      </w:r>
      <w:r>
        <w:rPr>
          <w:rFonts w:ascii="Times New Roman" w:hAnsi="Times New Roman" w:cs="Times New Roman"/>
          <w:sz w:val="24"/>
          <w:szCs w:val="24"/>
        </w:rPr>
        <w:t xml:space="preserve">установки табличек </w:t>
      </w:r>
      <w:r>
        <w:rPr>
          <w:rFonts w:ascii="Times New Roman" w:hAnsi="Times New Roman" w:cs="Times New Roman"/>
          <w:sz w:val="24"/>
          <w:szCs w:val="24"/>
        </w:rPr>
        <w:t xml:space="preserve">задается </w:t>
      </w:r>
      <w:r>
        <w:rPr>
          <w:rFonts w:ascii="Times New Roman" w:hAnsi="Times New Roman" w:cs="Times New Roman"/>
          <w:sz w:val="24"/>
          <w:szCs w:val="24"/>
        </w:rPr>
        <w:t xml:space="preserve">перед заплывом, после периода отладки, </w:t>
      </w:r>
      <w:r>
        <w:rPr>
          <w:rFonts w:ascii="Times New Roman" w:hAnsi="Times New Roman" w:cs="Times New Roman"/>
          <w:sz w:val="24"/>
          <w:szCs w:val="24"/>
        </w:rPr>
        <w:t xml:space="preserve">сл</w:t>
      </w:r>
      <w:r>
        <w:rPr>
          <w:rFonts w:ascii="Times New Roman" w:hAnsi="Times New Roman" w:cs="Times New Roman"/>
          <w:sz w:val="24"/>
          <w:szCs w:val="24"/>
        </w:rPr>
        <w:t xml:space="preserve">учайным образом в пределах от 0,1 м до 0,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от поверхности воды до верхнего края таблички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таблички устанавливаются на одной глубине. </w:t>
      </w:r>
      <w:r>
        <w:rPr>
          <w:rFonts w:ascii="Times New Roman" w:hAnsi="Times New Roman" w:cs="Times New Roman"/>
          <w:sz w:val="24"/>
          <w:szCs w:val="24"/>
        </w:rPr>
        <w:t xml:space="preserve">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Количество табличек задается случайным образом в пределах от 3 до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шт. перед заплывом, после периода отладки.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Месторасположение табличек не меняется относительно курса «зона старта» - «зона всплытия». Таблички располагаются слева по ходу движения робота.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Изображения на табличках задаются случайным образом, после периода отладки.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Расстояние между табличками задается случайным образом в пределах от 0,2 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до 0,5 м перед заплывом, после периода отладки.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Табличка с изображением звезды обозначает место всплытия, закрепляется к б</w:t>
      </w:r>
      <w:r>
        <w:rPr>
          <w:rFonts w:ascii="Times New Roman" w:hAnsi="Times New Roman" w:cs="Times New Roman"/>
          <w:sz w:val="24"/>
          <w:szCs w:val="24"/>
        </w:rPr>
        <w:t xml:space="preserve">ортику бассейна на глубине от 0,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м до 0,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от поверхности воды</w:t>
      </w:r>
      <w:r>
        <w:rPr>
          <w:rFonts w:ascii="Times New Roman" w:hAnsi="Times New Roman" w:cs="Times New Roman"/>
          <w:sz w:val="24"/>
          <w:szCs w:val="24"/>
        </w:rPr>
        <w:t xml:space="preserve"> до верхнего края таблички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Табличка с изображением звезды устанавливается на той же глубине, что и основные таблички.</w:t>
      </w:r>
      <w:r>
        <w:rPr>
          <w:rFonts w:ascii="Times New Roman" w:hAnsi="Times New Roman" w:cs="Times New Roman"/>
          <w:sz w:val="24"/>
          <w:szCs w:val="24"/>
        </w:rPr>
        <w:t xml:space="preserve">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Рамка зоны всплытия закрепляется на поверхности воды, напротив таблички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 изображением звезды. Данная расстановка используется для всех команд в течение одного заплыва.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Минимальная глубина бассейна 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выполнения задач: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Процедура старта аппарата: перед стартом все роботы находятся в карантине. Если команда использует ноутбук в качестве «бортового» компьютера, то его </w:t>
      </w:r>
      <w:r>
        <w:rPr>
          <w:rFonts w:ascii="Times New Roman" w:hAnsi="Times New Roman" w:cs="Times New Roman"/>
          <w:sz w:val="24"/>
          <w:szCs w:val="24"/>
        </w:rPr>
        <w:t xml:space="preserve">также необходимо сдать в карантин. Перед стартом робот должен находиться на поверхности воды в зоне старта. Разрешается старт программы с помощью механических переключателей, через беспроводные сети, а также запуском программы непосредственно на ноутбуке.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Двигаться заданным курсом.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Задача, считается выполненной в случае, если робот двигался прямолинейно по направлению к первой табличке из зоны старта (его проекция пересекла проекцию таблички).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Выполнить действия у табличек с изображениями.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Задача, считается выполненной в случае, если робот при прохождении мимо таблички с изображением осуществил предписанное данным изображением действие и вышел на следующее задание – табличку (его проекция пересекла проекцию следующей по курсу таблички).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Всплытие в рамке.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Задача, считается выполненной в случае, если робот всплыл в рамке, напротив таблички с изображением звезды.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Изображения на табличках и действия, которые необходимо выполнить: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треугольник – робот должен осуществить разворот на 360 градусов</w:t>
      </w:r>
      <w:r>
        <w:rPr>
          <w:rFonts w:ascii="Times New Roman" w:hAnsi="Times New Roman" w:cs="Times New Roman"/>
          <w:sz w:val="24"/>
          <w:szCs w:val="24"/>
        </w:rPr>
        <w:t xml:space="preserve"> по часовой стрелке</w:t>
      </w:r>
      <w:r>
        <w:rPr>
          <w:rFonts w:ascii="Times New Roman" w:hAnsi="Times New Roman" w:cs="Times New Roman"/>
          <w:sz w:val="24"/>
          <w:szCs w:val="24"/>
        </w:rPr>
        <w:t xml:space="preserve"> вокруг своей оси;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круг – </w:t>
      </w:r>
      <w:r>
        <w:rPr>
          <w:rFonts w:ascii="Times New Roman" w:hAnsi="Times New Roman" w:cs="Times New Roman"/>
          <w:sz w:val="24"/>
          <w:szCs w:val="24"/>
        </w:rPr>
        <w:t xml:space="preserve">робот должен осуществить разворот на 360 градусов против часовой стрелки вокруг своей оси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квадрат – действий не требуется, робот должен продолжить движение к следующей табличке;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звезда – робот должен всплыть в рамке;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необходимо выполнять в строгой последовательности, двигаясь из зоны старта в зону всплытия.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задачи могут быть выполнены любым доступным способом: с использованием системы технического зрения, использования навигационного датчика, просто с помощью управления упорами движителей, комбинацией нескольких методов и подходов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Попытка завершается в следующих ситуациях: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Штатные ситуации: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Робот всплыл в рамке зоны всплытия, то есть любая часть робота оказалась над водой внутри рамки;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Нештатные ситуации: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Истекло максимальное время попытки;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Капитан просит судью завершить попытку;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Критические ситуации завершения попытки: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Робот нарушил иные требования, описанные в правилах;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Участник нарушил иные требования, описанные в правила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Критерии оценки результата выполнения олимпиадного задания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Критерии оценки результата выполнения задания. Количество и тип табличек не меняе</w:t>
      </w:r>
      <w:r>
        <w:rPr>
          <w:rFonts w:ascii="Times New Roman" w:hAnsi="Times New Roman" w:cs="Times New Roman"/>
          <w:sz w:val="24"/>
          <w:szCs w:val="24"/>
        </w:rPr>
        <w:t xml:space="preserve">тся между заплывами (попытками)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tbl>
      <w:tblPr>
        <w:tblW w:w="9209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559"/>
        <w:gridCol w:w="1276"/>
      </w:tblGrid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случаев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заданным курсом (пересечь проекцию первой таблички)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действие «разворот на 360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часовой стрелке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напротив таблички с треугольником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«разворот на 360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часовой стрелки»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таблички с кругом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действие «двигаться к следующей табличке» напротив таблички с квадратом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Всплытие в рамке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2"/>
            <w:tcW w:w="79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балл*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</w:t>
            </w:r>
            <w:r/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 за неправильное действие у таблички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</w:t>
            </w:r>
            <w:r/>
          </w:p>
        </w:tc>
      </w:tr>
      <w:tr>
        <w:trPr/>
        <w:tc>
          <w:tcPr>
            <w:gridSpan w:val="2"/>
            <w:tcW w:w="793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штраф*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*Максимальный балл и максимальный штраф рассчитывается в зависимости от типа и количества табличек, установленных на данный заплыв.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Примеры расчета баллов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№1: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После старта робот, погрузившись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двигался по направлению первой таблички, его проекция пересекла проекцию таблички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первой таблички. На табличке изображен желтый квадрат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второй таблички. На табличке изображен красный треугольник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(штраф)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третьей таблички (изображен синий круг)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осуществил разворот на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против часовой стрелки</w:t>
      </w:r>
      <w:r>
        <w:rPr>
          <w:rFonts w:ascii="Times New Roman" w:hAnsi="Times New Roman" w:cs="Times New Roman"/>
          <w:sz w:val="24"/>
          <w:szCs w:val="24"/>
        </w:rPr>
        <w:t xml:space="preserve">. После чего продолжил движение к следующей табличке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четвертой таблички (изображен синий треугольник) и осуществил разворот на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часовой стрелке, по</w:t>
      </w:r>
      <w:r>
        <w:rPr>
          <w:rFonts w:ascii="Times New Roman" w:hAnsi="Times New Roman" w:cs="Times New Roman"/>
          <w:sz w:val="24"/>
          <w:szCs w:val="24"/>
        </w:rPr>
        <w:t xml:space="preserve">сле чего продолжил движение к следующей табличке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пятой таблички (изображена черная звезда) и осуществил всплытие в рамке</w:t>
      </w:r>
      <w:r>
        <w:rPr>
          <w:rFonts w:ascii="Times New Roman" w:hAnsi="Times New Roman" w:cs="Times New Roman"/>
          <w:sz w:val="24"/>
          <w:szCs w:val="24"/>
        </w:rPr>
        <w:t xml:space="preserve">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 баллов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№2: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После старта робот, погрузившись, двигался по направлению первой таблички, его проекция пересекла проекцию таблички: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первой таблички. На табличке изображен желтый квадрат: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второй таблички. На табличке изображен красный треугольник: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(штраф).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Робот проплыл мимо </w:t>
      </w:r>
      <w:r>
        <w:rPr>
          <w:rFonts w:ascii="Times New Roman" w:hAnsi="Times New Roman" w:cs="Times New Roman"/>
          <w:sz w:val="24"/>
          <w:szCs w:val="24"/>
        </w:rPr>
        <w:t xml:space="preserve">третьей</w:t>
      </w:r>
      <w:r>
        <w:rPr>
          <w:rFonts w:ascii="Times New Roman" w:hAnsi="Times New Roman" w:cs="Times New Roman"/>
          <w:sz w:val="24"/>
          <w:szCs w:val="24"/>
        </w:rPr>
        <w:t xml:space="preserve"> таблички. На табличке изображен синий круг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(штраф).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</w:t>
      </w:r>
      <w:r>
        <w:rPr>
          <w:rFonts w:ascii="Times New Roman" w:hAnsi="Times New Roman" w:cs="Times New Roman"/>
          <w:sz w:val="24"/>
          <w:szCs w:val="24"/>
        </w:rPr>
        <w:t xml:space="preserve">четвертой</w:t>
      </w:r>
      <w:r>
        <w:rPr>
          <w:rFonts w:ascii="Times New Roman" w:hAnsi="Times New Roman" w:cs="Times New Roman"/>
          <w:sz w:val="24"/>
          <w:szCs w:val="24"/>
        </w:rPr>
        <w:t xml:space="preserve"> таблички. На табличке изображен синий треугольник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(штраф).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пятой таблички (изображена черная звезда) и осуществил всплытие в рамке: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баллов.</w:t>
      </w:r>
      <w:r/>
    </w:p>
    <w:p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баллов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№3: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После старта робот, погрузившись, двигался по направлению первой таблички, его проекция пересекла проекцию таблички: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проплыл мимо первой таблички. На табличке изображен красный квадрат: +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второй таблички (изображен зеленый треугольник) </w:t>
      </w:r>
      <w:r>
        <w:rPr>
          <w:rFonts w:ascii="Times New Roman" w:hAnsi="Times New Roman" w:cs="Times New Roman"/>
          <w:sz w:val="24"/>
          <w:szCs w:val="24"/>
        </w:rPr>
        <w:t xml:space="preserve">и осуществил разворот на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по часовой стрелке, после чего продолжил движение к следующей табличке: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Робот остановился напротив третьей таблички (изображен желтый круг)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осуществил разворот на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против часовой стрелки. После чего продолжил движение к следующей табличке: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второй таблички (изображен красный треугольник) и осуществил разворот на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по часовой стрелке, после чего продолжил движение к следующей табличке: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Робот остановился напротив пятой таблички (изображена черная звезда) и осуществил всплытие в рамке: 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баллов.</w:t>
      </w:r>
      <w:r/>
    </w:p>
    <w:p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50 баллов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Проведение состязания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Организаторы соревнований подготавливают расписание отладки роботов </w:t>
      </w:r>
      <w:r>
        <w:rPr>
          <w:rFonts w:ascii="Times New Roman" w:hAnsi="Times New Roman" w:cs="Times New Roman"/>
          <w:sz w:val="24"/>
          <w:szCs w:val="24"/>
        </w:rPr>
        <w:t xml:space="preserve">в бассейне. Каждая команда должна пройти технический осмотр роботов на соответствие требованиям. Каждой команде выделяется 3 заплыва(попытки) по 2 минуты на прохождение квалификации. В течение каждого заплыва команды могут запустить робота только один раз.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Для прохождения квалификации, роботу необходимо пройти из зоны старта к зоне всплытия и всплыть в рамке напротив таблички с изображением звезды. Команды, прошедшие квалификацию, попадают в полуфинал.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полуфинале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3 заплыва (попытки) по 2 минуты. В течение каждого заплыва команды могут запустить робота только один раз. Перед заплывами команды сдают роботов в карантин. После сдачи робота в карантин запрещается внесение изменений в программу АНПА для текущей попытки.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финале каждой команде будет предоставлено 2 заплыва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(попытки) по 2 минуты. В течение каждого заплыва команды могут запустить робота только один раз. Перед заплывами команды сдают роботов в карантин. После сдачи робота в карантин запрещается внесение изменений в программу АНПА для текущей попытки.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Правила заплыва: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Во время выполнения задач робот может находиться как над водой, так и под водой. Если робот не находился полностью под водой и оказался в рамке, то баллы за всплытие не начисляются.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Как только робот всплывает в рамке, Судья останавливает таймер, попытка считается завершённой, фиксируются баллы и время всплытия. Капитан может досрочно </w:t>
      </w:r>
      <w:r>
        <w:rPr>
          <w:rFonts w:ascii="Times New Roman" w:hAnsi="Times New Roman" w:cs="Times New Roman"/>
          <w:sz w:val="24"/>
          <w:szCs w:val="24"/>
        </w:rPr>
        <w:t xml:space="preserve">завершить заплыв (попытку), при этом фиксируются набранные баллы и максимальное время попытки.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Если время истекает во время выполнения попытки, то фиксируются баллы, заработанные до этого момента и максимальное время.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Робота в бассейне может запускать только один член команды, который находится у бортика бассейна. Все члены команды должны быть в спасательных жилетах. Спасательные жилеты предо</w:t>
      </w:r>
      <w:r>
        <w:rPr>
          <w:rFonts w:ascii="Times New Roman" w:hAnsi="Times New Roman" w:cs="Times New Roman"/>
          <w:sz w:val="24"/>
          <w:szCs w:val="24"/>
        </w:rPr>
        <w:t xml:space="preserve">ставляют организаторы соревнований. Перед стартом робот должен находиться в воде в зоне старта. Член команды, находящийся у бортика бассейна, должен держать робота. После того, как судья дал старт и засек время, участник команды может запустить программу.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Только капитан команды может общаться с водолазом и судьей. В случае если робот будет пытаться нанести вред бассейну, водолаз может принять решение отключить робота. При этом попытка завершается (аналогично п. 5.5.3).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Определение итогового рейтинга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победители определяются по количеству баллов. В зачет идет лучшая попытка и время выполнения этой попытки. Если количество баллов совпадает, то берется в расчет вторая попытка и время выполнения этой попытки.</w:t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Описание полигона и реквизита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Зона старта должна располагаться у кромки бассейна. И обозначена красными метками на бортике.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2850" cy="3016250"/>
                <wp:effectExtent l="0" t="0" r="0" b="0"/>
                <wp:docPr id="3" name="Рисунок 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92850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95.5pt;height:237.5pt;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Состав и характеристики реквизита</w:t>
      </w:r>
      <w:r/>
    </w:p>
    <w:tbl>
      <w:tblPr>
        <w:tblW w:w="1002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1859"/>
        <w:gridCol w:w="3119"/>
        <w:gridCol w:w="1984"/>
        <w:gridCol w:w="2520"/>
      </w:tblGrid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Цвет и материал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Линейные размеры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Расположение на полигоне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/>
            <w:bookmarkStart w:id="1" w:name="_Hlk50325531"/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с изображением квадрата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фон, цветное изображение (красный, синий, желтый, зеленый). Может вырезаться как из плавучих материалов (в данном случае необходимо к обратной стороне прикрепить груз), так и не плавучих.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алюкобонд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акрил,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баннерная ткань, железо. Для установки на заданную глубину используется веревка.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х Ш: 200мм х 200мм См. Приложение №1. 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Закрепляется к бортику бассейна на глубине от 0,1 до 0,5 м до верхнего края таблички. Расстояние между табличками в пределах от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0,5 м.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с изображением треугольника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фон, цветное изображение (красный, синий, желтый, зеленый). Может вырезаться как из плавучих материалов (в данном случае необходимо к обратной стороне прикрепить груз), так и не плавучих.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алюкобонд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акрил,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баннерная ткань, железо. Для установки на заданную глубину используется веревка.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х Ш: 200мм х 200мм  См. Приложение №2. 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Закрепляется к бортику бассейна на глубине от 0,1 до 0,5 м до верхнего края таблички. Расстояние между табличками в пределах от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0,5 м.</w:t>
            </w:r>
            <w:bookmarkEnd w:id="1"/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с изображением круга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фон, цветное изображение (красный, синий, желтый, зеленый). Может вырезаться как из плавучих материалов (в данном случае необходимо к обратной стороне прикрепить груз), так и не плавучих.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алюкобонд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акрил,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баннерная ткань, железо. Для установки на заданную глубину используется веревка.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х Ш: 200мм х 200мм  См. Приложение №3. 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Закрепляется к бортику бассейна на глубине от 0,1 до 0,5 м до верхнего края таблички. Расстояние между табличками в пределах от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0,5 м.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зоны всплытия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фон, черное изображение. Может вырезаться как из плавучих материалов (в данном случае необходимо к обратной стороне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прикрепить груз), так и не плавучих.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алюкобонд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акрил,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баннерная ткань, железо. Для установки на заданную глубину используется веревка.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х Ш: 200мм х 200мм См. Приложение №4.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Закрепляется к бортику бассейна на глубине от 0,1 до 0,5 м до верхнего края таблички. Расстояние между табличками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пределах от 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0,5 м.</w:t>
            </w:r>
            <w:r/>
          </w:p>
        </w:tc>
      </w:tr>
      <w:tr>
        <w:trPr/>
        <w:tc>
          <w:tcPr>
            <w:tcW w:w="546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85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Рамка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Изготавливается из труб ПВХ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20мм. Цвет белый.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х Ш: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1,0 м.</w:t>
            </w:r>
            <w:r/>
          </w:p>
        </w:tc>
        <w:tc>
          <w:tcPr>
            <w:tcW w:w="2520" w:type="dxa"/>
            <w:textDirection w:val="lrTb"/>
            <w:noWrap w:val="false"/>
          </w:tcPr>
          <w:p>
            <w:pPr>
              <w:pStyle w:val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Расположена на поверхности воды напротив таблички зоны всплытия. Короткой стороной прилегает к бортику бассейна.</w:t>
            </w:r>
            <w:r/>
          </w:p>
        </w:tc>
      </w:tr>
    </w:tbl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Глоссарий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ТНПА</w:t>
      </w:r>
      <w:r>
        <w:rPr>
          <w:rFonts w:ascii="Times New Roman" w:hAnsi="Times New Roman" w:cs="Times New Roman"/>
          <w:sz w:val="24"/>
          <w:szCs w:val="24"/>
        </w:rPr>
        <w:t xml:space="preserve"> – телеуправляемый необитаемый подводный аппарат.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АНПА</w:t>
      </w:r>
      <w:r>
        <w:rPr>
          <w:rFonts w:ascii="Times New Roman" w:hAnsi="Times New Roman" w:cs="Times New Roman"/>
          <w:sz w:val="24"/>
          <w:szCs w:val="24"/>
        </w:rPr>
        <w:t xml:space="preserve"> – автономный необитаемый подводный аппарат.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OpenCV</w:t>
      </w:r>
      <w:r>
        <w:rPr>
          <w:rFonts w:ascii="Times New Roman" w:hAnsi="Times New Roman" w:cs="Times New Roman"/>
          <w:sz w:val="24"/>
          <w:szCs w:val="24"/>
        </w:rPr>
        <w:t xml:space="preserve"> – библиотека алгоритмов компьютерного зрения, обработки изображений и численных алгоритмов общего назначения с открытым кодом.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Micro </w:t>
      </w:r>
      <w:r>
        <w:rPr>
          <w:rFonts w:ascii="Times New Roman" w:hAnsi="Times New Roman" w:cs="Times New Roman"/>
          <w:sz w:val="24"/>
          <w:szCs w:val="24"/>
        </w:rPr>
        <w:t xml:space="preserve">Underwater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Robot</w:t>
      </w:r>
      <w:r>
        <w:rPr>
          <w:rFonts w:ascii="Times New Roman" w:hAnsi="Times New Roman" w:cs="Times New Roman"/>
          <w:sz w:val="24"/>
          <w:szCs w:val="24"/>
        </w:rPr>
        <w:t xml:space="preserve">, конструктор </w:t>
      </w:r>
      <w:r>
        <w:rPr>
          <w:rFonts w:ascii="Times New Roman" w:hAnsi="Times New Roman" w:cs="Times New Roman"/>
          <w:sz w:val="24"/>
          <w:szCs w:val="24"/>
        </w:rPr>
        <w:t xml:space="preserve">АНПА</w:t>
      </w:r>
      <w:r>
        <w:rPr>
          <w:rFonts w:ascii="Times New Roman" w:hAnsi="Times New Roman" w:cs="Times New Roman"/>
          <w:sz w:val="24"/>
          <w:szCs w:val="24"/>
        </w:rPr>
        <w:t xml:space="preserve">\</w:t>
      </w:r>
      <w:r>
        <w:rPr>
          <w:rFonts w:ascii="Times New Roman" w:hAnsi="Times New Roman" w:cs="Times New Roman"/>
          <w:sz w:val="24"/>
          <w:szCs w:val="24"/>
        </w:rPr>
        <w:t xml:space="preserve">ТНПА</w:t>
      </w:r>
      <w:r>
        <w:rPr>
          <w:rFonts w:ascii="Times New Roman" w:hAnsi="Times New Roman" w:cs="Times New Roman"/>
          <w:sz w:val="24"/>
          <w:szCs w:val="24"/>
        </w:rPr>
        <w:t xml:space="preserve">, имеющий широкие возможности программирования, оснащенный движителями, камерами и датчиками, допускающий множество работоспособных конфигураций формы и компоновки подводного аппарата.</w:t>
      </w: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№1. Размеры элемента полигона: «Табличка с изображением квадрата». Возможные цвета квадрата: красный, синий, желтый, зеленый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0450" cy="8731250"/>
                <wp:effectExtent l="0" t="0" r="0" b="0"/>
                <wp:docPr id="4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40450" cy="873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83.5pt;height:687.5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Приложение №2. Размеры элемента полигона: «Табличка с изображением треугольника». Возможные цвета треугольника: красный, синий, желтый, зеленый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0100" cy="8356600"/>
                <wp:effectExtent l="0" t="0" r="6350" b="6350"/>
                <wp:docPr id="5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80100" cy="83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3.0pt;height:658.0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№3. Размеры элемента полигона: «Табличка с изображением круга». Возможные цвета круга: красный, синий, желтый, зеленый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08700" cy="8667750"/>
                <wp:effectExtent l="0" t="0" r="6350" b="0"/>
                <wp:docPr id="6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0870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81.0pt;height:682.5pt;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№4. Размеры элемента полигона: «Табличка с изображением звезды». Цвет звезды: черный.</w:t>
      </w:r>
      <w:r/>
    </w:p>
    <w:p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45200" cy="8591550"/>
                <wp:effectExtent l="0" t="0" r="0" b="0"/>
                <wp:docPr id="7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04520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76.0pt;height:676.5pt;">
                <v:path textboxrect="0,0,0,0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17"/>
    <w:link w:val="416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5"/>
    <w:next w:val="41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5"/>
    <w:next w:val="41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5"/>
    <w:next w:val="41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5"/>
    <w:next w:val="41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5"/>
    <w:next w:val="41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5"/>
    <w:next w:val="41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5"/>
    <w:next w:val="41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5"/>
    <w:next w:val="41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17"/>
    <w:link w:val="422"/>
    <w:uiPriority w:val="10"/>
    <w:rPr>
      <w:sz w:val="48"/>
      <w:szCs w:val="48"/>
    </w:rPr>
  </w:style>
  <w:style w:type="paragraph" w:styleId="34">
    <w:name w:val="Subtitle"/>
    <w:basedOn w:val="415"/>
    <w:next w:val="41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7"/>
    <w:link w:val="34"/>
    <w:uiPriority w:val="11"/>
    <w:rPr>
      <w:sz w:val="24"/>
      <w:szCs w:val="24"/>
    </w:rPr>
  </w:style>
  <w:style w:type="paragraph" w:styleId="36">
    <w:name w:val="Quote"/>
    <w:basedOn w:val="415"/>
    <w:next w:val="41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5"/>
    <w:next w:val="415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7"/>
    <w:link w:val="40"/>
    <w:uiPriority w:val="99"/>
  </w:style>
  <w:style w:type="paragraph" w:styleId="42">
    <w:name w:val="Footer"/>
    <w:basedOn w:val="41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7"/>
    <w:link w:val="42"/>
    <w:uiPriority w:val="99"/>
  </w:style>
  <w:style w:type="paragraph" w:styleId="44">
    <w:name w:val="Caption"/>
    <w:basedOn w:val="415"/>
    <w:next w:val="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7"/>
    <w:uiPriority w:val="99"/>
    <w:unhideWhenUsed/>
    <w:rPr>
      <w:vertAlign w:val="superscript"/>
    </w:rPr>
  </w:style>
  <w:style w:type="paragraph" w:styleId="176">
    <w:name w:val="endnote text"/>
    <w:basedOn w:val="41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7"/>
    <w:uiPriority w:val="99"/>
    <w:semiHidden/>
    <w:unhideWhenUsed/>
    <w:rPr>
      <w:vertAlign w:val="superscript"/>
    </w:rPr>
  </w:style>
  <w:style w:type="paragraph" w:styleId="179">
    <w:name w:val="toc 1"/>
    <w:basedOn w:val="415"/>
    <w:next w:val="4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5"/>
    <w:next w:val="4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5"/>
    <w:next w:val="4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5"/>
    <w:next w:val="4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5"/>
    <w:next w:val="4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5"/>
    <w:next w:val="4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5"/>
    <w:next w:val="4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5"/>
    <w:next w:val="4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5"/>
    <w:next w:val="4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5" w:default="1">
    <w:name w:val="Normal"/>
    <w:qFormat/>
  </w:style>
  <w:style w:type="paragraph" w:styleId="416">
    <w:name w:val="Heading 1"/>
    <w:basedOn w:val="415"/>
    <w:link w:val="426"/>
    <w:qFormat/>
    <w:uiPriority w:val="9"/>
    <w:rPr>
      <w:rFonts w:ascii="Times New Roman" w:hAnsi="Times New Roman" w:cs="Times New Roman" w:eastAsia="Times New Roman"/>
      <w:b/>
      <w:bCs/>
      <w:sz w:val="24"/>
      <w:szCs w:val="24"/>
    </w:rPr>
    <w:pPr>
      <w:ind w:left="686"/>
      <w:spacing w:lineRule="exact" w:line="275" w:after="0"/>
      <w:widowControl w:val="off"/>
      <w:outlineLvl w:val="0"/>
    </w:pPr>
  </w:style>
  <w:style w:type="character" w:styleId="417" w:default="1">
    <w:name w:val="Default Paragraph Font"/>
    <w:uiPriority w:val="1"/>
    <w:semiHidden/>
    <w:unhideWhenUsed/>
  </w:style>
  <w:style w:type="table" w:styleId="4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9" w:default="1">
    <w:name w:val="No List"/>
    <w:uiPriority w:val="99"/>
    <w:semiHidden/>
    <w:unhideWhenUsed/>
  </w:style>
  <w:style w:type="paragraph" w:styleId="420">
    <w:name w:val="Body Text"/>
    <w:basedOn w:val="415"/>
    <w:link w:val="421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  <w:widowControl w:val="off"/>
    </w:pPr>
  </w:style>
  <w:style w:type="character" w:styleId="421" w:customStyle="1">
    <w:name w:val="Основной текст Знак"/>
    <w:basedOn w:val="417"/>
    <w:link w:val="420"/>
    <w:uiPriority w:val="1"/>
    <w:rPr>
      <w:rFonts w:ascii="Times New Roman" w:hAnsi="Times New Roman" w:cs="Times New Roman" w:eastAsia="Times New Roman"/>
      <w:sz w:val="24"/>
      <w:szCs w:val="24"/>
    </w:rPr>
  </w:style>
  <w:style w:type="paragraph" w:styleId="422">
    <w:name w:val="Title"/>
    <w:basedOn w:val="415"/>
    <w:link w:val="423"/>
    <w:qFormat/>
    <w:uiPriority w:val="10"/>
    <w:rPr>
      <w:rFonts w:ascii="Times New Roman" w:hAnsi="Times New Roman" w:cs="Times New Roman" w:eastAsia="Times New Roman"/>
      <w:b/>
      <w:bCs/>
      <w:sz w:val="52"/>
      <w:szCs w:val="52"/>
    </w:rPr>
    <w:pPr>
      <w:ind w:left="150" w:right="138"/>
      <w:jc w:val="center"/>
      <w:spacing w:lineRule="exact" w:line="595" w:after="0" w:before="1"/>
      <w:widowControl w:val="off"/>
    </w:pPr>
  </w:style>
  <w:style w:type="character" w:styleId="423" w:customStyle="1">
    <w:name w:val="Название Знак"/>
    <w:basedOn w:val="417"/>
    <w:link w:val="422"/>
    <w:uiPriority w:val="10"/>
    <w:rPr>
      <w:rFonts w:ascii="Times New Roman" w:hAnsi="Times New Roman" w:cs="Times New Roman" w:eastAsia="Times New Roman"/>
      <w:b/>
      <w:bCs/>
      <w:sz w:val="52"/>
      <w:szCs w:val="52"/>
    </w:rPr>
  </w:style>
  <w:style w:type="character" w:styleId="424">
    <w:name w:val="Hyperlink"/>
    <w:basedOn w:val="417"/>
    <w:uiPriority w:val="99"/>
    <w:semiHidden/>
    <w:unhideWhenUsed/>
    <w:rPr>
      <w:color w:val="0563C1" w:themeColor="hyperlink"/>
      <w:u w:val="single"/>
    </w:rPr>
  </w:style>
  <w:style w:type="paragraph" w:styleId="425">
    <w:name w:val="List Paragraph"/>
    <w:basedOn w:val="415"/>
    <w:qFormat/>
    <w:uiPriority w:val="34"/>
    <w:pPr>
      <w:contextualSpacing w:val="true"/>
      <w:ind w:left="720"/>
    </w:pPr>
  </w:style>
  <w:style w:type="character" w:styleId="426" w:customStyle="1">
    <w:name w:val="Заголовок 1 Знак"/>
    <w:basedOn w:val="417"/>
    <w:link w:val="416"/>
    <w:uiPriority w:val="9"/>
    <w:rPr>
      <w:rFonts w:ascii="Times New Roman" w:hAnsi="Times New Roman" w:cs="Times New Roman" w:eastAsia="Times New Roman"/>
      <w:b/>
      <w:bCs/>
      <w:sz w:val="24"/>
      <w:szCs w:val="24"/>
    </w:rPr>
  </w:style>
  <w:style w:type="character" w:styleId="427">
    <w:name w:val="FollowedHyperlink"/>
    <w:basedOn w:val="417"/>
    <w:uiPriority w:val="99"/>
    <w:semiHidden/>
    <w:unhideWhenUsed/>
    <w:rPr>
      <w:color w:val="954F72" w:themeColor="followedHyperlink"/>
      <w:u w:val="single"/>
    </w:rPr>
  </w:style>
  <w:style w:type="table" w:styleId="428">
    <w:name w:val="Table Grid"/>
    <w:basedOn w:val="418"/>
    <w:rPr>
      <w:rFonts w:ascii="Calibri" w:hAnsi="Calibri" w:cs="Times New Roman" w:eastAsia="Times New Roman"/>
      <w:sz w:val="20"/>
      <w:szCs w:val="20"/>
      <w:lang w:eastAsia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29" w:customStyle="1">
    <w:name w:val="Без интервала1"/>
    <w:rPr>
      <w:rFonts w:ascii="Calibri" w:hAnsi="Calibri" w:cs="Times New Roman" w:eastAsia="Times New Roman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ONLYOFFICE/6.0.0.110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revision>3</cp:revision>
  <dcterms:created xsi:type="dcterms:W3CDTF">2021-03-27T11:12:00Z</dcterms:created>
  <dcterms:modified xsi:type="dcterms:W3CDTF">2021-03-27T16:33:10Z</dcterms:modified>
</cp:coreProperties>
</file>